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17283AB6" w:rsidR="00C53BFA" w:rsidRPr="009966AB" w:rsidRDefault="00025A6B" w:rsidP="003F021C">
      <w:pPr>
        <w:pStyle w:val="H1"/>
        <w:ind w:right="2070"/>
      </w:pPr>
      <w:bookmarkStart w:id="0" w:name="_mjrr2kp9be2e" w:colFirst="0" w:colLast="0"/>
      <w:bookmarkEnd w:id="0"/>
      <w:r w:rsidRPr="00025A6B">
        <w:t>Bureau of Workers Compensation – Safety Intervention Grant</w:t>
      </w:r>
      <w:r w:rsidR="00C53BFA"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p>
    <w:p w14:paraId="392FBB70" w14:textId="77777777" w:rsidR="00185D8E" w:rsidRPr="00185D8E" w:rsidRDefault="002B3D46" w:rsidP="002453F9">
      <w:pPr>
        <w:spacing w:after="200" w:line="240" w:lineRule="auto"/>
        <w:rPr>
          <w:lang w:val="en-US"/>
        </w:rPr>
      </w:pPr>
      <w:r>
        <w:br/>
      </w:r>
      <w:r w:rsidR="00185D8E" w:rsidRPr="00185D8E">
        <w:rPr>
          <w:lang w:val="en-US"/>
        </w:rPr>
        <w:t xml:space="preserve">The Ohio Bureau of Workers’ Compensation (BWC) reopened the Safety Intervention Grant (SIG) on July 1, </w:t>
      </w:r>
      <w:proofErr w:type="gramStart"/>
      <w:r w:rsidR="00185D8E" w:rsidRPr="00185D8E">
        <w:rPr>
          <w:lang w:val="en-US"/>
        </w:rPr>
        <w:t>2025</w:t>
      </w:r>
      <w:proofErr w:type="gramEnd"/>
      <w:r w:rsidR="00185D8E" w:rsidRPr="00185D8E">
        <w:rPr>
          <w:lang w:val="en-US"/>
        </w:rPr>
        <w:t xml:space="preserve"> and is accepting new applications.  This is great news for employers who are looking for funding to purchase equipment to help reduce or eliminate workplace injuries or illnesses.  All applicants must submit a new application as previous ones will not carry over.  Additionally, applicants are required to obtain three vendor quotes or one quote with a sole source justification for the proposed intervention.  </w:t>
      </w:r>
    </w:p>
    <w:p w14:paraId="43F3A42A" w14:textId="77777777" w:rsidR="005919AC" w:rsidRPr="005919AC" w:rsidRDefault="005919AC" w:rsidP="002453F9">
      <w:pPr>
        <w:spacing w:after="200" w:line="240" w:lineRule="auto"/>
        <w:rPr>
          <w:lang w:val="en-US"/>
        </w:rPr>
      </w:pPr>
      <w:r w:rsidRPr="005919AC">
        <w:rPr>
          <w:lang w:val="en-US"/>
        </w:rPr>
        <w:t>The SIG is available to any Ohio private or public employer covered by the State Insurance Fund.  Recipients are eligible for a 3-1 matching grant, up to a maximum grant award of $40,000 for each three-year eligibility cycle.  As an example, the program will give your organization $3 for every $1 you contribute.  Employers must work with an assigned BWC grant coordinator throughout the process and will be required to submit a one-year case study, one year after the implementation date for the intervention.</w:t>
      </w:r>
    </w:p>
    <w:p w14:paraId="728DEF1F" w14:textId="77777777" w:rsidR="006C4F62" w:rsidRPr="006C4F62" w:rsidRDefault="006C4F62" w:rsidP="002453F9">
      <w:pPr>
        <w:spacing w:after="200" w:line="240" w:lineRule="auto"/>
        <w:rPr>
          <w:lang w:val="en-US"/>
        </w:rPr>
      </w:pPr>
      <w:r w:rsidRPr="006C4F62">
        <w:rPr>
          <w:lang w:val="en-US"/>
        </w:rPr>
        <w:t xml:space="preserve">The BWC’s website contains a timeline of events and detailed information on program requirements, including: </w:t>
      </w:r>
    </w:p>
    <w:p w14:paraId="4A1B7BC3" w14:textId="77777777" w:rsidR="006C4F62" w:rsidRPr="006C4F62" w:rsidRDefault="006C4F62" w:rsidP="002453F9">
      <w:pPr>
        <w:numPr>
          <w:ilvl w:val="0"/>
          <w:numId w:val="26"/>
        </w:numPr>
        <w:spacing w:after="200" w:line="240" w:lineRule="auto"/>
        <w:rPr>
          <w:lang w:val="en-US"/>
        </w:rPr>
      </w:pPr>
      <w:r w:rsidRPr="006C4F62">
        <w:rPr>
          <w:lang w:val="en-US"/>
        </w:rPr>
        <w:t>What to know before you apply</w:t>
      </w:r>
    </w:p>
    <w:p w14:paraId="1B67B94A" w14:textId="77777777" w:rsidR="006C4F62" w:rsidRPr="006C4F62" w:rsidRDefault="006C4F62" w:rsidP="002453F9">
      <w:pPr>
        <w:numPr>
          <w:ilvl w:val="0"/>
          <w:numId w:val="26"/>
        </w:numPr>
        <w:spacing w:after="200" w:line="240" w:lineRule="auto"/>
        <w:rPr>
          <w:lang w:val="en-US"/>
        </w:rPr>
      </w:pPr>
      <w:r w:rsidRPr="006C4F62">
        <w:rPr>
          <w:lang w:val="en-US"/>
        </w:rPr>
        <w:t>SIG eligibility requirements</w:t>
      </w:r>
    </w:p>
    <w:p w14:paraId="753C105D" w14:textId="77777777" w:rsidR="006C4F62" w:rsidRPr="006C4F62" w:rsidRDefault="006C4F62" w:rsidP="002453F9">
      <w:pPr>
        <w:numPr>
          <w:ilvl w:val="0"/>
          <w:numId w:val="26"/>
        </w:numPr>
        <w:spacing w:after="200" w:line="240" w:lineRule="auto"/>
        <w:rPr>
          <w:lang w:val="en-US"/>
        </w:rPr>
      </w:pPr>
      <w:r w:rsidRPr="006C4F62">
        <w:rPr>
          <w:lang w:val="en-US"/>
        </w:rPr>
        <w:t>After you apply</w:t>
      </w:r>
    </w:p>
    <w:p w14:paraId="1C4CC0BD" w14:textId="77777777" w:rsidR="006C4F62" w:rsidRPr="006C4F62" w:rsidRDefault="006C4F62" w:rsidP="002453F9">
      <w:pPr>
        <w:numPr>
          <w:ilvl w:val="0"/>
          <w:numId w:val="26"/>
        </w:numPr>
        <w:spacing w:after="200" w:line="240" w:lineRule="auto"/>
        <w:rPr>
          <w:lang w:val="en-US"/>
        </w:rPr>
      </w:pPr>
      <w:r w:rsidRPr="006C4F62">
        <w:rPr>
          <w:lang w:val="en-US"/>
        </w:rPr>
        <w:t>Reporting and documentation requirements</w:t>
      </w:r>
    </w:p>
    <w:p w14:paraId="478ADD5D" w14:textId="77777777" w:rsidR="006C4F62" w:rsidRPr="006C4F62" w:rsidRDefault="006C4F62" w:rsidP="002453F9">
      <w:pPr>
        <w:numPr>
          <w:ilvl w:val="0"/>
          <w:numId w:val="26"/>
        </w:numPr>
        <w:spacing w:after="200" w:line="240" w:lineRule="auto"/>
        <w:rPr>
          <w:lang w:val="en-US"/>
        </w:rPr>
      </w:pPr>
      <w:r w:rsidRPr="006C4F62">
        <w:rPr>
          <w:lang w:val="en-US"/>
        </w:rPr>
        <w:t>Application timeline</w:t>
      </w:r>
    </w:p>
    <w:p w14:paraId="3B4ED62B" w14:textId="77777777" w:rsidR="00290DF6" w:rsidRDefault="00290DF6" w:rsidP="002453F9">
      <w:pPr>
        <w:spacing w:line="240" w:lineRule="auto"/>
      </w:pPr>
      <w:r w:rsidRPr="002453F9">
        <w:rPr>
          <w:lang w:val="en-US"/>
        </w:rPr>
        <w:t xml:space="preserve">Visit the BWC’s SIG website here: </w:t>
      </w:r>
      <w:hyperlink r:id="rId8" w:history="1">
        <w:r w:rsidRPr="0059779D">
          <w:rPr>
            <w:rStyle w:val="Hyperlink"/>
          </w:rPr>
          <w:t>Safety Intervention Grant</w:t>
        </w:r>
      </w:hyperlink>
    </w:p>
    <w:p w14:paraId="319AFABD" w14:textId="05C0E686" w:rsidR="00407896" w:rsidRPr="002453F9" w:rsidRDefault="00407896" w:rsidP="002453F9">
      <w:pPr>
        <w:spacing w:after="200" w:line="240" w:lineRule="auto"/>
        <w:rPr>
          <w:lang w:val="en-US"/>
        </w:rPr>
      </w:pPr>
      <w:r w:rsidRPr="002453F9">
        <w:rPr>
          <w:lang w:val="en-US"/>
        </w:rPr>
        <w:t xml:space="preserve">Employers should contact the BWC prior to purchasing any equipment, however, the BWC has come up with a list of “Fast Track Grants”.  Fast Track Grants are those in which the task(s) are high </w:t>
      </w:r>
      <w:r w:rsidR="002453F9" w:rsidRPr="002453F9">
        <w:rPr>
          <w:lang w:val="en-US"/>
        </w:rPr>
        <w:t>risk,</w:t>
      </w:r>
      <w:r w:rsidRPr="002453F9">
        <w:rPr>
          <w:lang w:val="en-US"/>
        </w:rPr>
        <w:t xml:space="preserve"> and it is highly likely the intervention will have a significant impact on eliminating injuries in the future.  Some of the “Fast Track Grant Equipment” includes:</w:t>
      </w:r>
    </w:p>
    <w:p w14:paraId="2191F56F" w14:textId="77777777" w:rsidR="00407896" w:rsidRPr="002453F9" w:rsidRDefault="00407896" w:rsidP="002453F9">
      <w:pPr>
        <w:numPr>
          <w:ilvl w:val="0"/>
          <w:numId w:val="27"/>
        </w:numPr>
        <w:spacing w:after="200" w:line="240" w:lineRule="auto"/>
        <w:rPr>
          <w:lang w:val="en-US"/>
        </w:rPr>
      </w:pPr>
      <w:r w:rsidRPr="002453F9">
        <w:rPr>
          <w:lang w:val="en-US"/>
        </w:rPr>
        <w:t>Bathing systems</w:t>
      </w:r>
    </w:p>
    <w:p w14:paraId="778175D1" w14:textId="77777777" w:rsidR="00407896" w:rsidRPr="002453F9" w:rsidRDefault="00407896" w:rsidP="002453F9">
      <w:pPr>
        <w:numPr>
          <w:ilvl w:val="0"/>
          <w:numId w:val="27"/>
        </w:numPr>
        <w:spacing w:after="200" w:line="240" w:lineRule="auto"/>
        <w:rPr>
          <w:lang w:val="en-US"/>
        </w:rPr>
      </w:pPr>
      <w:r w:rsidRPr="002453F9">
        <w:rPr>
          <w:lang w:val="en-US"/>
        </w:rPr>
        <w:t>Conduit bending equipment</w:t>
      </w:r>
    </w:p>
    <w:p w14:paraId="3C91D29B" w14:textId="77777777" w:rsidR="00407896" w:rsidRPr="002453F9" w:rsidRDefault="00407896" w:rsidP="002453F9">
      <w:pPr>
        <w:numPr>
          <w:ilvl w:val="0"/>
          <w:numId w:val="27"/>
        </w:numPr>
        <w:spacing w:after="200" w:line="240" w:lineRule="auto"/>
        <w:rPr>
          <w:lang w:val="en-US"/>
        </w:rPr>
      </w:pPr>
      <w:r w:rsidRPr="002453F9">
        <w:rPr>
          <w:lang w:val="en-US"/>
        </w:rPr>
        <w:t>Floor cleaning equipment</w:t>
      </w:r>
    </w:p>
    <w:p w14:paraId="41494B91" w14:textId="77777777" w:rsidR="00407896" w:rsidRPr="002453F9" w:rsidRDefault="00407896" w:rsidP="002453F9">
      <w:pPr>
        <w:numPr>
          <w:ilvl w:val="0"/>
          <w:numId w:val="27"/>
        </w:numPr>
        <w:spacing w:after="200" w:line="240" w:lineRule="auto"/>
        <w:rPr>
          <w:lang w:val="en-US"/>
        </w:rPr>
      </w:pPr>
      <w:r w:rsidRPr="002453F9">
        <w:rPr>
          <w:lang w:val="en-US"/>
        </w:rPr>
        <w:t>Fume extractors for welding</w:t>
      </w:r>
    </w:p>
    <w:p w14:paraId="33E4C98D" w14:textId="77777777" w:rsidR="00407896" w:rsidRPr="002453F9" w:rsidRDefault="00407896" w:rsidP="002453F9">
      <w:pPr>
        <w:numPr>
          <w:ilvl w:val="0"/>
          <w:numId w:val="27"/>
        </w:numPr>
        <w:spacing w:after="200" w:line="240" w:lineRule="auto"/>
        <w:rPr>
          <w:lang w:val="en-US"/>
        </w:rPr>
      </w:pPr>
      <w:r w:rsidRPr="002453F9">
        <w:rPr>
          <w:lang w:val="en-US"/>
        </w:rPr>
        <w:t>Lift gates</w:t>
      </w:r>
    </w:p>
    <w:p w14:paraId="6B14F1D3" w14:textId="77777777" w:rsidR="00407896" w:rsidRPr="002453F9" w:rsidRDefault="00407896" w:rsidP="002453F9">
      <w:pPr>
        <w:numPr>
          <w:ilvl w:val="0"/>
          <w:numId w:val="27"/>
        </w:numPr>
        <w:spacing w:after="200" w:line="240" w:lineRule="auto"/>
        <w:rPr>
          <w:lang w:val="en-US"/>
        </w:rPr>
      </w:pPr>
      <w:r w:rsidRPr="002453F9">
        <w:rPr>
          <w:lang w:val="en-US"/>
        </w:rPr>
        <w:t>Lift tables</w:t>
      </w:r>
    </w:p>
    <w:p w14:paraId="1D8E100F" w14:textId="77777777" w:rsidR="00407896" w:rsidRPr="00407896" w:rsidRDefault="00407896" w:rsidP="002453F9">
      <w:pPr>
        <w:numPr>
          <w:ilvl w:val="0"/>
          <w:numId w:val="27"/>
        </w:numPr>
        <w:spacing w:after="200" w:line="240" w:lineRule="auto"/>
        <w:rPr>
          <w:rFonts w:asciiTheme="majorHAnsi" w:hAnsiTheme="majorHAnsi"/>
          <w:lang w:val="en-US"/>
        </w:rPr>
      </w:pPr>
      <w:r w:rsidRPr="00407896">
        <w:rPr>
          <w:rFonts w:asciiTheme="majorHAnsi" w:hAnsiTheme="majorHAnsi"/>
          <w:lang w:val="en-US"/>
        </w:rPr>
        <w:t>Patient lifting devices</w:t>
      </w:r>
    </w:p>
    <w:p w14:paraId="12064378" w14:textId="196657DF" w:rsidR="009232D3" w:rsidRDefault="00407896" w:rsidP="002453F9">
      <w:pPr>
        <w:numPr>
          <w:ilvl w:val="0"/>
          <w:numId w:val="27"/>
        </w:numPr>
        <w:spacing w:after="200" w:line="240" w:lineRule="auto"/>
        <w:rPr>
          <w:rFonts w:asciiTheme="majorHAnsi" w:hAnsiTheme="majorHAnsi"/>
          <w:lang w:val="en-US"/>
        </w:rPr>
      </w:pPr>
      <w:r w:rsidRPr="00407896">
        <w:rPr>
          <w:rFonts w:asciiTheme="majorHAnsi" w:hAnsiTheme="majorHAnsi"/>
          <w:lang w:val="en-US"/>
        </w:rPr>
        <w:t>Shrink wrap equipment</w:t>
      </w:r>
    </w:p>
    <w:p w14:paraId="3B3E1508" w14:textId="77777777" w:rsidR="004456A5" w:rsidRPr="004456A5" w:rsidRDefault="004456A5" w:rsidP="002453F9">
      <w:pPr>
        <w:spacing w:line="240" w:lineRule="auto"/>
        <w:rPr>
          <w:lang w:val="en-US"/>
        </w:rPr>
      </w:pPr>
      <w:r w:rsidRPr="004456A5">
        <w:rPr>
          <w:lang w:val="en-US"/>
        </w:rPr>
        <w:t xml:space="preserve">Keep in mind there is equipment that is not covered by the SIG Program.  The complete list can be found here </w:t>
      </w:r>
      <w:hyperlink r:id="rId9" w:history="1">
        <w:r w:rsidRPr="004456A5">
          <w:rPr>
            <w:rStyle w:val="Hyperlink"/>
            <w:lang w:val="en-US"/>
          </w:rPr>
          <w:t>Unapproved Items for the SIG Program</w:t>
        </w:r>
      </w:hyperlink>
      <w:r w:rsidRPr="004456A5">
        <w:rPr>
          <w:lang w:val="en-US"/>
        </w:rPr>
        <w:t>.  Some of the items include:</w:t>
      </w:r>
    </w:p>
    <w:p w14:paraId="57B9B589" w14:textId="77777777" w:rsidR="004456A5" w:rsidRPr="004456A5" w:rsidRDefault="004456A5" w:rsidP="002453F9">
      <w:pPr>
        <w:numPr>
          <w:ilvl w:val="0"/>
          <w:numId w:val="27"/>
        </w:numPr>
        <w:spacing w:after="200" w:line="240" w:lineRule="auto"/>
        <w:rPr>
          <w:lang w:val="en-US"/>
        </w:rPr>
      </w:pPr>
      <w:r w:rsidRPr="004456A5">
        <w:rPr>
          <w:lang w:val="en-US"/>
        </w:rPr>
        <w:lastRenderedPageBreak/>
        <w:t>Anti-fatigue mats</w:t>
      </w:r>
    </w:p>
    <w:p w14:paraId="0A763C9D" w14:textId="77777777" w:rsidR="004456A5" w:rsidRPr="004456A5" w:rsidRDefault="004456A5" w:rsidP="002453F9">
      <w:pPr>
        <w:numPr>
          <w:ilvl w:val="0"/>
          <w:numId w:val="27"/>
        </w:numPr>
        <w:spacing w:after="200" w:line="240" w:lineRule="auto"/>
        <w:rPr>
          <w:lang w:val="en-US"/>
        </w:rPr>
      </w:pPr>
      <w:r w:rsidRPr="004456A5">
        <w:rPr>
          <w:lang w:val="en-US"/>
        </w:rPr>
        <w:t>Automated external defibrillators (AED’s)</w:t>
      </w:r>
    </w:p>
    <w:p w14:paraId="74FFFF77" w14:textId="77777777" w:rsidR="004456A5" w:rsidRPr="004456A5" w:rsidRDefault="004456A5" w:rsidP="002453F9">
      <w:pPr>
        <w:numPr>
          <w:ilvl w:val="0"/>
          <w:numId w:val="27"/>
        </w:numPr>
        <w:spacing w:after="200" w:line="240" w:lineRule="auto"/>
        <w:rPr>
          <w:lang w:val="en-US"/>
        </w:rPr>
      </w:pPr>
      <w:r w:rsidRPr="004456A5">
        <w:rPr>
          <w:lang w:val="en-US"/>
        </w:rPr>
        <w:t>Certain food industry items</w:t>
      </w:r>
    </w:p>
    <w:p w14:paraId="1BF86D6C" w14:textId="77777777" w:rsidR="004456A5" w:rsidRPr="004456A5" w:rsidRDefault="004456A5" w:rsidP="002453F9">
      <w:pPr>
        <w:numPr>
          <w:ilvl w:val="0"/>
          <w:numId w:val="27"/>
        </w:numPr>
        <w:spacing w:after="200" w:line="240" w:lineRule="auto"/>
        <w:rPr>
          <w:lang w:val="en-US"/>
        </w:rPr>
      </w:pPr>
      <w:r w:rsidRPr="004456A5">
        <w:rPr>
          <w:lang w:val="en-US"/>
        </w:rPr>
        <w:t>Equipment intended to meet minimum OSHA requirements</w:t>
      </w:r>
    </w:p>
    <w:p w14:paraId="248A7F02" w14:textId="77777777" w:rsidR="004456A5" w:rsidRPr="004456A5" w:rsidRDefault="004456A5" w:rsidP="002453F9">
      <w:pPr>
        <w:numPr>
          <w:ilvl w:val="0"/>
          <w:numId w:val="27"/>
        </w:numPr>
        <w:spacing w:after="200" w:line="240" w:lineRule="auto"/>
        <w:rPr>
          <w:lang w:val="en-US"/>
        </w:rPr>
      </w:pPr>
      <w:r w:rsidRPr="004456A5">
        <w:rPr>
          <w:lang w:val="en-US"/>
        </w:rPr>
        <w:t>Passive safety/security devices</w:t>
      </w:r>
    </w:p>
    <w:p w14:paraId="70374119" w14:textId="77777777" w:rsidR="004456A5" w:rsidRPr="004456A5" w:rsidRDefault="004456A5" w:rsidP="002453F9">
      <w:pPr>
        <w:numPr>
          <w:ilvl w:val="0"/>
          <w:numId w:val="27"/>
        </w:numPr>
        <w:spacing w:after="200" w:line="240" w:lineRule="auto"/>
        <w:rPr>
          <w:lang w:val="en-US"/>
        </w:rPr>
      </w:pPr>
      <w:r w:rsidRPr="004456A5">
        <w:rPr>
          <w:lang w:val="en-US"/>
        </w:rPr>
        <w:t>PPE, back belts and wrist splints</w:t>
      </w:r>
    </w:p>
    <w:p w14:paraId="12C93FF7" w14:textId="77777777" w:rsidR="004456A5" w:rsidRPr="004456A5" w:rsidRDefault="004456A5" w:rsidP="002453F9">
      <w:pPr>
        <w:numPr>
          <w:ilvl w:val="0"/>
          <w:numId w:val="27"/>
        </w:numPr>
        <w:spacing w:after="200" w:line="240" w:lineRule="auto"/>
        <w:rPr>
          <w:lang w:val="en-US"/>
        </w:rPr>
      </w:pPr>
      <w:r w:rsidRPr="004456A5">
        <w:rPr>
          <w:lang w:val="en-US"/>
        </w:rPr>
        <w:t>Sitting and/or standing workstation equipment</w:t>
      </w:r>
    </w:p>
    <w:p w14:paraId="4DA79F27" w14:textId="77777777" w:rsidR="004456A5" w:rsidRPr="004456A5" w:rsidRDefault="004456A5" w:rsidP="002453F9">
      <w:pPr>
        <w:numPr>
          <w:ilvl w:val="0"/>
          <w:numId w:val="27"/>
        </w:numPr>
        <w:spacing w:after="200" w:line="240" w:lineRule="auto"/>
        <w:rPr>
          <w:lang w:val="en-US"/>
        </w:rPr>
      </w:pPr>
      <w:r w:rsidRPr="004456A5">
        <w:rPr>
          <w:lang w:val="en-US"/>
        </w:rPr>
        <w:t>Training and training simulators</w:t>
      </w:r>
    </w:p>
    <w:p w14:paraId="32916C64" w14:textId="77777777" w:rsidR="004456A5" w:rsidRPr="004456A5" w:rsidRDefault="004456A5" w:rsidP="002453F9">
      <w:pPr>
        <w:numPr>
          <w:ilvl w:val="0"/>
          <w:numId w:val="27"/>
        </w:numPr>
        <w:spacing w:after="200" w:line="240" w:lineRule="auto"/>
        <w:rPr>
          <w:lang w:val="en-US"/>
        </w:rPr>
      </w:pPr>
      <w:r w:rsidRPr="004456A5">
        <w:rPr>
          <w:lang w:val="en-US"/>
        </w:rPr>
        <w:t>Vehicle lifts</w:t>
      </w:r>
    </w:p>
    <w:p w14:paraId="0FF80E46" w14:textId="77777777" w:rsidR="004456A5" w:rsidRPr="004456A5" w:rsidRDefault="004456A5" w:rsidP="002453F9">
      <w:pPr>
        <w:spacing w:line="240" w:lineRule="auto"/>
        <w:rPr>
          <w:lang w:val="en-US"/>
        </w:rPr>
      </w:pPr>
      <w:r w:rsidRPr="004456A5">
        <w:rPr>
          <w:lang w:val="en-US"/>
        </w:rPr>
        <w:t>In addition to the SIG, employers can also apply for other Safety Grant Programs such as:</w:t>
      </w:r>
    </w:p>
    <w:p w14:paraId="3A485405" w14:textId="77777777" w:rsidR="004456A5" w:rsidRPr="004456A5" w:rsidRDefault="004456A5" w:rsidP="002453F9">
      <w:pPr>
        <w:numPr>
          <w:ilvl w:val="0"/>
          <w:numId w:val="27"/>
        </w:numPr>
        <w:spacing w:after="200" w:line="240" w:lineRule="auto"/>
        <w:rPr>
          <w:lang w:val="en-US"/>
        </w:rPr>
      </w:pPr>
      <w:r w:rsidRPr="004456A5">
        <w:rPr>
          <w:lang w:val="en-US"/>
        </w:rPr>
        <w:t>Body Armor Grant</w:t>
      </w:r>
    </w:p>
    <w:p w14:paraId="03CC0D53" w14:textId="77777777" w:rsidR="004456A5" w:rsidRPr="004456A5" w:rsidRDefault="004456A5" w:rsidP="002453F9">
      <w:pPr>
        <w:numPr>
          <w:ilvl w:val="0"/>
          <w:numId w:val="27"/>
        </w:numPr>
        <w:spacing w:after="200" w:line="240" w:lineRule="auto"/>
        <w:rPr>
          <w:lang w:val="en-US"/>
        </w:rPr>
      </w:pPr>
      <w:r w:rsidRPr="004456A5">
        <w:rPr>
          <w:lang w:val="en-US"/>
        </w:rPr>
        <w:t>Firefighter Exposure to Environmental Elements Grants Program</w:t>
      </w:r>
    </w:p>
    <w:p w14:paraId="4627E3E5" w14:textId="77777777" w:rsidR="004456A5" w:rsidRPr="004456A5" w:rsidRDefault="004456A5" w:rsidP="002453F9">
      <w:pPr>
        <w:numPr>
          <w:ilvl w:val="0"/>
          <w:numId w:val="27"/>
        </w:numPr>
        <w:spacing w:after="200" w:line="240" w:lineRule="auto"/>
        <w:rPr>
          <w:lang w:val="en-US"/>
        </w:rPr>
      </w:pPr>
      <w:r w:rsidRPr="004456A5">
        <w:rPr>
          <w:lang w:val="en-US"/>
        </w:rPr>
        <w:t>School Safety and Security Grant (SSSG)</w:t>
      </w:r>
    </w:p>
    <w:p w14:paraId="035EB19F" w14:textId="77777777" w:rsidR="004456A5" w:rsidRPr="004456A5" w:rsidRDefault="004456A5" w:rsidP="002453F9">
      <w:pPr>
        <w:numPr>
          <w:ilvl w:val="0"/>
          <w:numId w:val="27"/>
        </w:numPr>
        <w:spacing w:after="200" w:line="240" w:lineRule="auto"/>
        <w:rPr>
          <w:lang w:val="en-US"/>
        </w:rPr>
      </w:pPr>
      <w:r w:rsidRPr="004456A5">
        <w:rPr>
          <w:lang w:val="en-US"/>
        </w:rPr>
        <w:t>Workplace Wellness Grant Program</w:t>
      </w:r>
    </w:p>
    <w:p w14:paraId="62D0C3AD" w14:textId="77777777" w:rsidR="004456A5" w:rsidRPr="004456A5" w:rsidRDefault="004456A5" w:rsidP="002453F9">
      <w:pPr>
        <w:spacing w:line="240" w:lineRule="auto"/>
        <w:rPr>
          <w:lang w:val="en-US"/>
        </w:rPr>
      </w:pPr>
      <w:r w:rsidRPr="004456A5">
        <w:rPr>
          <w:lang w:val="en-US"/>
        </w:rPr>
        <w:t xml:space="preserve">All of the grant programs can be found at </w:t>
      </w:r>
      <w:hyperlink r:id="rId10" w:history="1">
        <w:r w:rsidRPr="004456A5">
          <w:rPr>
            <w:rStyle w:val="Hyperlink"/>
            <w:lang w:val="en-US"/>
          </w:rPr>
          <w:t>https://info.bwc.ohio.gov/for-employers/safety-services/safety-grants/safety-grants</w:t>
        </w:r>
      </w:hyperlink>
      <w:r w:rsidRPr="004456A5">
        <w:rPr>
          <w:lang w:val="en-US"/>
        </w:rPr>
        <w:t>.  The BWC allows for employers to participate in the SIG program concurrently with any combination of BWC’s Safety Grant Programs, which is great news!  If you decide to apply, you will need to arrange for a BWC safety field consultant (safety consultant, ergonomist or industrial hygienist) to assist with the grant application.  To start, you can:</w:t>
      </w:r>
    </w:p>
    <w:p w14:paraId="7DEFB669" w14:textId="77777777" w:rsidR="004456A5" w:rsidRPr="004456A5" w:rsidRDefault="004456A5" w:rsidP="002453F9">
      <w:pPr>
        <w:numPr>
          <w:ilvl w:val="0"/>
          <w:numId w:val="27"/>
        </w:numPr>
        <w:spacing w:after="200" w:line="240" w:lineRule="auto"/>
        <w:rPr>
          <w:lang w:val="en-US"/>
        </w:rPr>
      </w:pPr>
      <w:r w:rsidRPr="004456A5">
        <w:rPr>
          <w:lang w:val="en-US"/>
        </w:rPr>
        <w:t xml:space="preserve">Request a meeting with your safety field consultant by filling out the </w:t>
      </w:r>
      <w:hyperlink r:id="rId11" w:history="1">
        <w:r w:rsidRPr="002453F9">
          <w:t>Online Request Form</w:t>
        </w:r>
      </w:hyperlink>
      <w:r w:rsidRPr="004456A5">
        <w:rPr>
          <w:lang w:val="en-US"/>
        </w:rPr>
        <w:t xml:space="preserve">, or </w:t>
      </w:r>
    </w:p>
    <w:p w14:paraId="7035CFEE" w14:textId="77777777" w:rsidR="004456A5" w:rsidRPr="004456A5" w:rsidRDefault="004456A5" w:rsidP="002453F9">
      <w:pPr>
        <w:numPr>
          <w:ilvl w:val="0"/>
          <w:numId w:val="27"/>
        </w:numPr>
        <w:spacing w:after="200" w:line="240" w:lineRule="auto"/>
        <w:rPr>
          <w:lang w:val="en-US"/>
        </w:rPr>
      </w:pPr>
      <w:r w:rsidRPr="004456A5">
        <w:rPr>
          <w:lang w:val="en-US"/>
        </w:rPr>
        <w:t xml:space="preserve">Call 1-800-644-6292 and request a consultation. </w:t>
      </w:r>
    </w:p>
    <w:p w14:paraId="5B76CBFB" w14:textId="77777777" w:rsidR="004456A5" w:rsidRPr="004456A5" w:rsidRDefault="004456A5" w:rsidP="002453F9">
      <w:pPr>
        <w:spacing w:line="240" w:lineRule="auto"/>
        <w:rPr>
          <w:lang w:val="en-US"/>
        </w:rPr>
      </w:pPr>
      <w:r w:rsidRPr="004456A5">
        <w:rPr>
          <w:lang w:val="en-US"/>
        </w:rPr>
        <w:t xml:space="preserve">So, if you are looking to improve safety in your workplace and reduce injuries and illnesses, take advantage of this great opportunity from the state of Ohio! </w:t>
      </w:r>
    </w:p>
    <w:p w14:paraId="6F3651FD" w14:textId="5B124C46" w:rsidR="000056A5" w:rsidRPr="00EB0760" w:rsidRDefault="000056A5" w:rsidP="004456A5">
      <w:pPr>
        <w:ind w:left="360"/>
        <w:rPr>
          <w:b/>
          <w:bCs/>
        </w:rPr>
      </w:pPr>
    </w:p>
    <w:sectPr w:rsidR="000056A5" w:rsidRPr="00EB0760" w:rsidSect="00156639">
      <w:headerReference w:type="default" r:id="rId12"/>
      <w:footerReference w:type="default" r:id="rId13"/>
      <w:headerReference w:type="first" r:id="rId14"/>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176" w14:textId="77777777" w:rsidR="002B4DDA" w:rsidRDefault="002B4DDA">
      <w:pPr>
        <w:spacing w:after="0" w:line="240" w:lineRule="auto"/>
      </w:pPr>
      <w:r>
        <w:separator/>
      </w:r>
    </w:p>
  </w:endnote>
  <w:endnote w:type="continuationSeparator" w:id="0">
    <w:p w14:paraId="369FD127" w14:textId="77777777" w:rsidR="002B4DDA" w:rsidRDefault="002B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513" w14:textId="77777777" w:rsidR="002B4DDA" w:rsidRDefault="002B4DDA">
      <w:pPr>
        <w:spacing w:after="0" w:line="240" w:lineRule="auto"/>
      </w:pPr>
      <w:r>
        <w:separator/>
      </w:r>
    </w:p>
  </w:footnote>
  <w:footnote w:type="continuationSeparator" w:id="0">
    <w:p w14:paraId="30841275" w14:textId="77777777" w:rsidR="002B4DDA" w:rsidRDefault="002B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302"/>
    <w:multiLevelType w:val="hybridMultilevel"/>
    <w:tmpl w:val="23D4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2EF1"/>
    <w:multiLevelType w:val="hybridMultilevel"/>
    <w:tmpl w:val="2752D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2B29"/>
    <w:multiLevelType w:val="hybridMultilevel"/>
    <w:tmpl w:val="ECC49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014EF"/>
    <w:multiLevelType w:val="hybridMultilevel"/>
    <w:tmpl w:val="5FEAF66E"/>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73390"/>
    <w:multiLevelType w:val="hybridMultilevel"/>
    <w:tmpl w:val="BD5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141D7"/>
    <w:multiLevelType w:val="hybridMultilevel"/>
    <w:tmpl w:val="2974C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B61F2"/>
    <w:multiLevelType w:val="hybridMultilevel"/>
    <w:tmpl w:val="0D26B074"/>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59D3"/>
    <w:multiLevelType w:val="hybridMultilevel"/>
    <w:tmpl w:val="7DC67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7"/>
  </w:num>
  <w:num w:numId="2" w16cid:durableId="1133210361">
    <w:abstractNumId w:val="17"/>
  </w:num>
  <w:num w:numId="3" w16cid:durableId="755134298">
    <w:abstractNumId w:val="15"/>
  </w:num>
  <w:num w:numId="4" w16cid:durableId="533883432">
    <w:abstractNumId w:val="2"/>
  </w:num>
  <w:num w:numId="5" w16cid:durableId="319508780">
    <w:abstractNumId w:val="27"/>
  </w:num>
  <w:num w:numId="6" w16cid:durableId="980307121">
    <w:abstractNumId w:val="22"/>
  </w:num>
  <w:num w:numId="7" w16cid:durableId="153107528">
    <w:abstractNumId w:val="5"/>
  </w:num>
  <w:num w:numId="8" w16cid:durableId="1475683133">
    <w:abstractNumId w:val="19"/>
  </w:num>
  <w:num w:numId="9" w16cid:durableId="2104522338">
    <w:abstractNumId w:val="9"/>
  </w:num>
  <w:num w:numId="10" w16cid:durableId="136461327">
    <w:abstractNumId w:val="16"/>
  </w:num>
  <w:num w:numId="11" w16cid:durableId="210968170">
    <w:abstractNumId w:val="26"/>
  </w:num>
  <w:num w:numId="12" w16cid:durableId="2003115738">
    <w:abstractNumId w:val="11"/>
  </w:num>
  <w:num w:numId="13" w16cid:durableId="2145004251">
    <w:abstractNumId w:val="6"/>
  </w:num>
  <w:num w:numId="14" w16cid:durableId="1827013946">
    <w:abstractNumId w:val="8"/>
  </w:num>
  <w:num w:numId="15" w16cid:durableId="1377778442">
    <w:abstractNumId w:val="13"/>
  </w:num>
  <w:num w:numId="16" w16cid:durableId="1084372981">
    <w:abstractNumId w:val="20"/>
  </w:num>
  <w:num w:numId="17" w16cid:durableId="2045254724">
    <w:abstractNumId w:val="25"/>
  </w:num>
  <w:num w:numId="18" w16cid:durableId="922571367">
    <w:abstractNumId w:val="28"/>
  </w:num>
  <w:num w:numId="19" w16cid:durableId="561142839">
    <w:abstractNumId w:val="10"/>
  </w:num>
  <w:num w:numId="20" w16cid:durableId="1993871973">
    <w:abstractNumId w:val="21"/>
  </w:num>
  <w:num w:numId="21" w16cid:durableId="915092358">
    <w:abstractNumId w:val="0"/>
  </w:num>
  <w:num w:numId="22" w16cid:durableId="1214921538">
    <w:abstractNumId w:val="14"/>
  </w:num>
  <w:num w:numId="23" w16cid:durableId="1147548166">
    <w:abstractNumId w:val="18"/>
  </w:num>
  <w:num w:numId="24" w16cid:durableId="700083662">
    <w:abstractNumId w:val="12"/>
  </w:num>
  <w:num w:numId="25" w16cid:durableId="2130121334">
    <w:abstractNumId w:val="24"/>
  </w:num>
  <w:num w:numId="26" w16cid:durableId="733549848">
    <w:abstractNumId w:val="29"/>
  </w:num>
  <w:num w:numId="27" w16cid:durableId="1353998612">
    <w:abstractNumId w:val="1"/>
  </w:num>
  <w:num w:numId="28" w16cid:durableId="1028406184">
    <w:abstractNumId w:val="23"/>
  </w:num>
  <w:num w:numId="29" w16cid:durableId="1353147792">
    <w:abstractNumId w:val="3"/>
  </w:num>
  <w:num w:numId="30" w16cid:durableId="1451244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25A6B"/>
    <w:rsid w:val="00053320"/>
    <w:rsid w:val="00057A9C"/>
    <w:rsid w:val="0009751D"/>
    <w:rsid w:val="000A5088"/>
    <w:rsid w:val="000E283C"/>
    <w:rsid w:val="000F39A6"/>
    <w:rsid w:val="00156639"/>
    <w:rsid w:val="00167DEC"/>
    <w:rsid w:val="00183EC0"/>
    <w:rsid w:val="00185D8E"/>
    <w:rsid w:val="00185F2B"/>
    <w:rsid w:val="001963A5"/>
    <w:rsid w:val="00201E8F"/>
    <w:rsid w:val="002453F9"/>
    <w:rsid w:val="00290DF6"/>
    <w:rsid w:val="002B1313"/>
    <w:rsid w:val="002B3D46"/>
    <w:rsid w:val="002B4DDA"/>
    <w:rsid w:val="002D747D"/>
    <w:rsid w:val="003117FC"/>
    <w:rsid w:val="00344E55"/>
    <w:rsid w:val="003D51B6"/>
    <w:rsid w:val="003F021C"/>
    <w:rsid w:val="00407896"/>
    <w:rsid w:val="00416A44"/>
    <w:rsid w:val="004456A5"/>
    <w:rsid w:val="00482436"/>
    <w:rsid w:val="004A33CB"/>
    <w:rsid w:val="004A6675"/>
    <w:rsid w:val="004C76F5"/>
    <w:rsid w:val="0056182B"/>
    <w:rsid w:val="005919AC"/>
    <w:rsid w:val="005A375D"/>
    <w:rsid w:val="005C55C5"/>
    <w:rsid w:val="00650C5D"/>
    <w:rsid w:val="0068539C"/>
    <w:rsid w:val="006866AC"/>
    <w:rsid w:val="006C4F62"/>
    <w:rsid w:val="007143A3"/>
    <w:rsid w:val="00793BE7"/>
    <w:rsid w:val="007B6869"/>
    <w:rsid w:val="007D6299"/>
    <w:rsid w:val="007E15F6"/>
    <w:rsid w:val="0084700A"/>
    <w:rsid w:val="00871514"/>
    <w:rsid w:val="00871FED"/>
    <w:rsid w:val="008A0DD5"/>
    <w:rsid w:val="008C3461"/>
    <w:rsid w:val="008E7E9F"/>
    <w:rsid w:val="009232D3"/>
    <w:rsid w:val="009429DF"/>
    <w:rsid w:val="009566F1"/>
    <w:rsid w:val="009E6FD9"/>
    <w:rsid w:val="009F0397"/>
    <w:rsid w:val="00AF193B"/>
    <w:rsid w:val="00AF7B9C"/>
    <w:rsid w:val="00B15710"/>
    <w:rsid w:val="00B53B6F"/>
    <w:rsid w:val="00B54368"/>
    <w:rsid w:val="00B7732D"/>
    <w:rsid w:val="00B8743E"/>
    <w:rsid w:val="00BD1E53"/>
    <w:rsid w:val="00C31A96"/>
    <w:rsid w:val="00C51826"/>
    <w:rsid w:val="00C531A9"/>
    <w:rsid w:val="00C53BFA"/>
    <w:rsid w:val="00C5400D"/>
    <w:rsid w:val="00C770AE"/>
    <w:rsid w:val="00C8755F"/>
    <w:rsid w:val="00C91A0B"/>
    <w:rsid w:val="00CC1E4E"/>
    <w:rsid w:val="00CF55DD"/>
    <w:rsid w:val="00D41B4B"/>
    <w:rsid w:val="00D454E1"/>
    <w:rsid w:val="00D47F7F"/>
    <w:rsid w:val="00D90A63"/>
    <w:rsid w:val="00D93E3B"/>
    <w:rsid w:val="00DA68FD"/>
    <w:rsid w:val="00E025BA"/>
    <w:rsid w:val="00E34FF8"/>
    <w:rsid w:val="00E675DC"/>
    <w:rsid w:val="00EB0760"/>
    <w:rsid w:val="00EC65CC"/>
    <w:rsid w:val="00ED1F7B"/>
    <w:rsid w:val="00EF1358"/>
    <w:rsid w:val="00EF79A0"/>
    <w:rsid w:val="00F1301C"/>
    <w:rsid w:val="00F47EE5"/>
    <w:rsid w:val="00F5765D"/>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bwc.ohio.gov/for-employers/safety-services/safety-grants/safety-intervention-gra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bwc.ohio.gov/for-employers/safety-services/consultations-and-programs/consultation-services/request-a-safety-and-health-consult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bwc.ohio.gov/for-employers/safety-services/safety-grants/safety-grants" TargetMode="External"/><Relationship Id="rId4" Type="http://schemas.openxmlformats.org/officeDocument/2006/relationships/webSettings" Target="webSettings.xml"/><Relationship Id="rId9" Type="http://schemas.openxmlformats.org/officeDocument/2006/relationships/hyperlink" Target="https://info.bwc.ohio.gov/for-employers/safety-services/safety-grants/safety-intervention-grant/unapproved-items-for-the-sig-progra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Potina, Dominic</cp:lastModifiedBy>
  <cp:revision>2</cp:revision>
  <cp:lastPrinted>2021-06-02T18:36:00Z</cp:lastPrinted>
  <dcterms:created xsi:type="dcterms:W3CDTF">2025-09-09T12:17:00Z</dcterms:created>
  <dcterms:modified xsi:type="dcterms:W3CDTF">2025-09-09T12:17:00Z</dcterms:modified>
</cp:coreProperties>
</file>